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07" w:rsidRDefault="00683307" w:rsidP="00CE05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Estimating Temperature</w:t>
      </w:r>
    </w:p>
    <w:p w:rsidR="00FC4253" w:rsidRDefault="00FC4253" w:rsidP="002F1431">
      <w:pPr>
        <w:rPr>
          <w:b/>
          <w:sz w:val="22"/>
          <w:szCs w:val="22"/>
        </w:rPr>
      </w:pPr>
    </w:p>
    <w:p w:rsidR="00FC4253" w:rsidRPr="00377181" w:rsidRDefault="00FC4253" w:rsidP="006C3EE3">
      <w:pPr>
        <w:jc w:val="center"/>
        <w:rPr>
          <w:sz w:val="22"/>
          <w:szCs w:val="22"/>
        </w:rPr>
      </w:pPr>
      <w:r w:rsidRPr="00377181">
        <w:rPr>
          <w:sz w:val="22"/>
          <w:szCs w:val="22"/>
        </w:rPr>
        <w:t xml:space="preserve">Wien’s Law:  </w:t>
      </w:r>
      <w:r w:rsidRPr="00377181">
        <w:rPr>
          <w:sz w:val="22"/>
          <w:szCs w:val="22"/>
        </w:rPr>
        <w:tab/>
      </w:r>
      <w:proofErr w:type="gramStart"/>
      <w:r w:rsidRPr="00377181">
        <w:rPr>
          <w:sz w:val="22"/>
          <w:szCs w:val="22"/>
        </w:rPr>
        <w:t>Wavelength</w:t>
      </w:r>
      <w:r w:rsidR="00D06A44" w:rsidRPr="00377181">
        <w:rPr>
          <w:sz w:val="22"/>
          <w:szCs w:val="22"/>
        </w:rPr>
        <w:t>(</w:t>
      </w:r>
      <w:proofErr w:type="gramEnd"/>
      <w:r w:rsidRPr="00377181">
        <w:rPr>
          <w:sz w:val="22"/>
          <w:szCs w:val="22"/>
        </w:rPr>
        <w:t>max) =  2,900,000</w:t>
      </w:r>
      <w:r w:rsidR="00D06A44" w:rsidRPr="00377181">
        <w:rPr>
          <w:sz w:val="22"/>
          <w:szCs w:val="22"/>
        </w:rPr>
        <w:t xml:space="preserve"> </w:t>
      </w:r>
      <w:r w:rsidRPr="00377181">
        <w:rPr>
          <w:sz w:val="22"/>
          <w:szCs w:val="22"/>
        </w:rPr>
        <w:t>/ Temperature</w:t>
      </w:r>
    </w:p>
    <w:p w:rsidR="00FC4253" w:rsidRPr="00377181" w:rsidRDefault="00FC4253" w:rsidP="002F1431">
      <w:pPr>
        <w:rPr>
          <w:sz w:val="22"/>
          <w:szCs w:val="22"/>
        </w:rPr>
      </w:pPr>
    </w:p>
    <w:p w:rsidR="00FC4253" w:rsidRPr="00377181" w:rsidRDefault="00D06A44" w:rsidP="002F1431">
      <w:pPr>
        <w:rPr>
          <w:sz w:val="22"/>
          <w:szCs w:val="22"/>
        </w:rPr>
      </w:pPr>
      <w:r w:rsidRPr="00377181">
        <w:rPr>
          <w:sz w:val="22"/>
          <w:szCs w:val="22"/>
        </w:rPr>
        <w:t xml:space="preserve">Wavelengths </w:t>
      </w:r>
      <w:proofErr w:type="gramStart"/>
      <w:r w:rsidRPr="00377181">
        <w:rPr>
          <w:sz w:val="22"/>
          <w:szCs w:val="22"/>
        </w:rPr>
        <w:t>are measured</w:t>
      </w:r>
      <w:proofErr w:type="gramEnd"/>
      <w:r w:rsidRPr="00377181">
        <w:rPr>
          <w:sz w:val="22"/>
          <w:szCs w:val="22"/>
        </w:rPr>
        <w:t xml:space="preserve"> in nanometers, and temperatures in degrees Kelvin.</w:t>
      </w:r>
    </w:p>
    <w:p w:rsidR="00D06A44" w:rsidRPr="00377181" w:rsidRDefault="00D06A44" w:rsidP="002F1431">
      <w:pPr>
        <w:rPr>
          <w:sz w:val="22"/>
          <w:szCs w:val="22"/>
        </w:rPr>
      </w:pPr>
    </w:p>
    <w:p w:rsidR="00FC4253" w:rsidRPr="00377181" w:rsidRDefault="00FC4253" w:rsidP="002F1431">
      <w:pPr>
        <w:rPr>
          <w:sz w:val="22"/>
          <w:szCs w:val="22"/>
        </w:rPr>
      </w:pPr>
      <w:r w:rsidRPr="00377181">
        <w:rPr>
          <w:sz w:val="22"/>
          <w:szCs w:val="22"/>
        </w:rPr>
        <w:t>Using the infrared camera</w:t>
      </w:r>
      <w:r w:rsidR="00D06A44" w:rsidRPr="00377181">
        <w:rPr>
          <w:sz w:val="22"/>
          <w:szCs w:val="22"/>
        </w:rPr>
        <w:t xml:space="preserve"> or a thermometer</w:t>
      </w:r>
      <w:r w:rsidRPr="00377181">
        <w:rPr>
          <w:sz w:val="22"/>
          <w:szCs w:val="22"/>
        </w:rPr>
        <w:t xml:space="preserve">, </w:t>
      </w:r>
      <w:r w:rsidR="00D06A44" w:rsidRPr="00377181">
        <w:rPr>
          <w:sz w:val="22"/>
          <w:szCs w:val="22"/>
        </w:rPr>
        <w:t>measure</w:t>
      </w:r>
      <w:r w:rsidRPr="00377181">
        <w:rPr>
          <w:sz w:val="22"/>
          <w:szCs w:val="22"/>
        </w:rPr>
        <w:t xml:space="preserve"> the temperatures of materials available in the room (ice, walls, water, hot water, skin, incandescent light bulb.</w:t>
      </w:r>
    </w:p>
    <w:p w:rsidR="00FC4253" w:rsidRPr="00377181" w:rsidRDefault="00FC4253" w:rsidP="002F1431">
      <w:pPr>
        <w:rPr>
          <w:sz w:val="22"/>
          <w:szCs w:val="22"/>
        </w:rPr>
      </w:pPr>
    </w:p>
    <w:p w:rsidR="00FC4253" w:rsidRPr="00377181" w:rsidRDefault="00FC4253" w:rsidP="002F1431">
      <w:pPr>
        <w:rPr>
          <w:sz w:val="22"/>
          <w:szCs w:val="22"/>
        </w:rPr>
      </w:pPr>
      <w:r w:rsidRPr="00377181">
        <w:rPr>
          <w:sz w:val="22"/>
          <w:szCs w:val="22"/>
        </w:rPr>
        <w:t xml:space="preserve">Using Wien’s Law, </w:t>
      </w:r>
      <w:r w:rsidR="00D06A44" w:rsidRPr="00377181">
        <w:rPr>
          <w:sz w:val="22"/>
          <w:szCs w:val="22"/>
        </w:rPr>
        <w:t xml:space="preserve">determine the wavelength at which each material emits the </w:t>
      </w:r>
      <w:proofErr w:type="gramStart"/>
      <w:r w:rsidR="00D06A44" w:rsidRPr="00377181">
        <w:rPr>
          <w:sz w:val="22"/>
          <w:szCs w:val="22"/>
        </w:rPr>
        <w:t>most thermal</w:t>
      </w:r>
      <w:proofErr w:type="gramEnd"/>
      <w:r w:rsidR="00D06A44" w:rsidRPr="00377181">
        <w:rPr>
          <w:sz w:val="22"/>
          <w:szCs w:val="22"/>
        </w:rPr>
        <w:t xml:space="preserve"> radiation.</w:t>
      </w:r>
    </w:p>
    <w:p w:rsidR="00D06A44" w:rsidRDefault="00D06A44" w:rsidP="002F1431">
      <w:pPr>
        <w:rPr>
          <w:b/>
          <w:sz w:val="22"/>
          <w:szCs w:val="22"/>
        </w:rPr>
      </w:pPr>
    </w:p>
    <w:p w:rsidR="006C3EE3" w:rsidRPr="00377181" w:rsidRDefault="006C3EE3" w:rsidP="006C3EE3">
      <w:pPr>
        <w:rPr>
          <w:sz w:val="22"/>
          <w:szCs w:val="22"/>
        </w:rPr>
      </w:pPr>
      <w:r w:rsidRPr="00377181">
        <w:rPr>
          <w:sz w:val="22"/>
          <w:szCs w:val="22"/>
        </w:rPr>
        <w:t>The Sun is the brightest in green light, about 500 nanometers.  What is its temperature?</w:t>
      </w:r>
    </w:p>
    <w:p w:rsidR="006C3EE3" w:rsidRDefault="006C3EE3" w:rsidP="002F1431">
      <w:pPr>
        <w:rPr>
          <w:b/>
          <w:sz w:val="22"/>
          <w:szCs w:val="22"/>
        </w:rPr>
      </w:pPr>
    </w:p>
    <w:p w:rsidR="006C3EE3" w:rsidRDefault="006C3EE3" w:rsidP="002F1431">
      <w:pPr>
        <w:rPr>
          <w:b/>
          <w:sz w:val="22"/>
          <w:szCs w:val="22"/>
        </w:rPr>
      </w:pPr>
    </w:p>
    <w:p w:rsidR="006C3EE3" w:rsidRDefault="006C3EE3" w:rsidP="002F1431">
      <w:pPr>
        <w:rPr>
          <w:b/>
          <w:sz w:val="22"/>
          <w:szCs w:val="22"/>
        </w:rPr>
      </w:pPr>
    </w:p>
    <w:p w:rsidR="00D06A44" w:rsidRDefault="005806B3" w:rsidP="002F1431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15240</wp:posOffset>
            </wp:positionV>
            <wp:extent cx="2857500" cy="3771900"/>
            <wp:effectExtent l="19050" t="0" r="0" b="0"/>
            <wp:wrapSquare wrapText="bothSides"/>
            <wp:docPr id="44" name="Picture 44" descr="http://rnp782.er.usgs.gov/atlas2/articles/mapping/IMAGES/avhrr-spr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np782.er.usgs.gov/atlas2/articles/mapping/IMAGES/avhrr-sprc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jc w:val="right"/>
        <w:tblLook w:val="01E0"/>
      </w:tblPr>
      <w:tblGrid>
        <w:gridCol w:w="1308"/>
        <w:gridCol w:w="1549"/>
        <w:gridCol w:w="2051"/>
      </w:tblGrid>
      <w:tr w:rsidR="00D06A44" w:rsidTr="00D06A44">
        <w:trPr>
          <w:trHeight w:val="593"/>
          <w:jc w:val="right"/>
        </w:trPr>
        <w:tc>
          <w:tcPr>
            <w:tcW w:w="1308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1549" w:type="dxa"/>
            <w:vAlign w:val="bottom"/>
          </w:tcPr>
          <w:p w:rsidR="00D06A44" w:rsidRDefault="00D06A44" w:rsidP="00D0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Temperature (K)</w:t>
            </w:r>
          </w:p>
        </w:tc>
        <w:tc>
          <w:tcPr>
            <w:tcW w:w="2051" w:type="dxa"/>
            <w:vAlign w:val="bottom"/>
          </w:tcPr>
          <w:p w:rsidR="00D06A44" w:rsidRDefault="00D06A44" w:rsidP="00D0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Peak Wavelength (nm)</w:t>
            </w:r>
          </w:p>
        </w:tc>
      </w:tr>
      <w:tr w:rsidR="00D06A44" w:rsidTr="00D06A44">
        <w:trPr>
          <w:trHeight w:val="530"/>
          <w:jc w:val="right"/>
        </w:trPr>
        <w:tc>
          <w:tcPr>
            <w:tcW w:w="1308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Ice</w:t>
            </w:r>
          </w:p>
        </w:tc>
        <w:tc>
          <w:tcPr>
            <w:tcW w:w="1549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</w:tr>
      <w:tr w:rsidR="00D06A44" w:rsidTr="00D06A44">
        <w:trPr>
          <w:trHeight w:val="530"/>
          <w:jc w:val="right"/>
        </w:trPr>
        <w:tc>
          <w:tcPr>
            <w:tcW w:w="1308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Walls</w:t>
            </w:r>
          </w:p>
        </w:tc>
        <w:tc>
          <w:tcPr>
            <w:tcW w:w="1549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</w:tr>
      <w:tr w:rsidR="00D06A44" w:rsidTr="00D06A44">
        <w:trPr>
          <w:trHeight w:val="530"/>
          <w:jc w:val="right"/>
        </w:trPr>
        <w:tc>
          <w:tcPr>
            <w:tcW w:w="1308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Skin</w:t>
            </w:r>
          </w:p>
        </w:tc>
        <w:tc>
          <w:tcPr>
            <w:tcW w:w="1549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</w:tr>
      <w:tr w:rsidR="00D06A44" w:rsidTr="00D06A44">
        <w:trPr>
          <w:trHeight w:val="530"/>
          <w:jc w:val="right"/>
        </w:trPr>
        <w:tc>
          <w:tcPr>
            <w:tcW w:w="1308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Hot Water</w:t>
            </w:r>
          </w:p>
        </w:tc>
        <w:tc>
          <w:tcPr>
            <w:tcW w:w="1549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</w:tr>
      <w:tr w:rsidR="00D06A44" w:rsidTr="00D06A44">
        <w:trPr>
          <w:trHeight w:val="530"/>
          <w:jc w:val="right"/>
        </w:trPr>
        <w:tc>
          <w:tcPr>
            <w:tcW w:w="1308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Light Bulb</w:t>
            </w:r>
          </w:p>
        </w:tc>
        <w:tc>
          <w:tcPr>
            <w:tcW w:w="1549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</w:tr>
      <w:tr w:rsidR="00D06A44" w:rsidTr="00D06A44">
        <w:trPr>
          <w:trHeight w:val="530"/>
          <w:jc w:val="right"/>
        </w:trPr>
        <w:tc>
          <w:tcPr>
            <w:tcW w:w="1308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</w:tr>
      <w:tr w:rsidR="00D06A44" w:rsidTr="00D06A44">
        <w:trPr>
          <w:trHeight w:val="530"/>
          <w:jc w:val="right"/>
        </w:trPr>
        <w:tc>
          <w:tcPr>
            <w:tcW w:w="1308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Sun</w:t>
            </w:r>
          </w:p>
        </w:tc>
        <w:tc>
          <w:tcPr>
            <w:tcW w:w="1549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  <w:vAlign w:val="bottom"/>
          </w:tcPr>
          <w:p w:rsidR="00D06A44" w:rsidRDefault="00D06A44" w:rsidP="00D06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 nm</w:t>
            </w:r>
          </w:p>
        </w:tc>
      </w:tr>
    </w:tbl>
    <w:p w:rsidR="00D06A44" w:rsidRDefault="00D06A44" w:rsidP="002F1431">
      <w:pPr>
        <w:rPr>
          <w:b/>
          <w:sz w:val="22"/>
          <w:szCs w:val="22"/>
        </w:rPr>
      </w:pPr>
    </w:p>
    <w:p w:rsidR="00FC4253" w:rsidRDefault="00FC4253" w:rsidP="002F1431"/>
    <w:p w:rsidR="00FC4253" w:rsidRDefault="00FC4253" w:rsidP="002F1431"/>
    <w:p w:rsidR="002E2DF7" w:rsidRDefault="002E2DF7" w:rsidP="002F1431"/>
    <w:p w:rsidR="002E2DF7" w:rsidRDefault="002E2DF7" w:rsidP="002F1431"/>
    <w:p w:rsidR="002E2DF7" w:rsidRDefault="002E2DF7" w:rsidP="002F1431"/>
    <w:p w:rsidR="002E2DF7" w:rsidRDefault="002E2DF7" w:rsidP="002F1431"/>
    <w:p w:rsidR="002E2DF7" w:rsidRDefault="002E2DF7" w:rsidP="002F1431"/>
    <w:p w:rsidR="00784E44" w:rsidRDefault="00784E44">
      <w:pPr>
        <w:rPr>
          <w:sz w:val="22"/>
        </w:rPr>
      </w:pPr>
      <w:r>
        <w:rPr>
          <w:sz w:val="22"/>
        </w:rPr>
        <w:br w:type="page"/>
      </w:r>
    </w:p>
    <w:p w:rsidR="002E2DF7" w:rsidRPr="00784E44" w:rsidRDefault="002E2DF7" w:rsidP="002F1431">
      <w:pPr>
        <w:rPr>
          <w:sz w:val="22"/>
        </w:rPr>
      </w:pPr>
      <w:r w:rsidRPr="00784E44">
        <w:rPr>
          <w:sz w:val="22"/>
        </w:rPr>
        <w:lastRenderedPageBreak/>
        <w:t xml:space="preserve">A microwave telescope “sees” microwave light coming from all directions in the sky.  This microwave signal is </w:t>
      </w:r>
      <w:proofErr w:type="gramStart"/>
      <w:r w:rsidRPr="00784E44">
        <w:rPr>
          <w:sz w:val="22"/>
        </w:rPr>
        <w:t>fairly strong</w:t>
      </w:r>
      <w:proofErr w:type="gramEnd"/>
      <w:r w:rsidRPr="00784E44">
        <w:rPr>
          <w:sz w:val="22"/>
        </w:rPr>
        <w:t xml:space="preserve">, accounting for about 1% of the “noise” detected by a television antenna set “off channel.”  A plot of the brightness of the microwave emission vs. wavelength </w:t>
      </w:r>
      <w:proofErr w:type="gramStart"/>
      <w:r w:rsidRPr="00784E44">
        <w:rPr>
          <w:sz w:val="22"/>
        </w:rPr>
        <w:t>is shown</w:t>
      </w:r>
      <w:proofErr w:type="gramEnd"/>
      <w:r w:rsidRPr="00784E44">
        <w:rPr>
          <w:sz w:val="22"/>
        </w:rPr>
        <w:t xml:space="preserve"> below.  From Wien’s law and the wavelength at which the microwave emission is brightest, estimate the temperature of the source of the microwave emission.</w:t>
      </w:r>
    </w:p>
    <w:p w:rsidR="002E2DF7" w:rsidRPr="00784E44" w:rsidRDefault="002E2DF7" w:rsidP="002F1431">
      <w:pPr>
        <w:rPr>
          <w:sz w:val="22"/>
        </w:rPr>
      </w:pPr>
    </w:p>
    <w:p w:rsidR="002E2DF7" w:rsidRDefault="00166742" w:rsidP="002F1431">
      <w:r>
        <w:rPr>
          <w:noProof/>
        </w:rPr>
        <w:pict>
          <v:rect id="_x0000_s1071" style="position:absolute;margin-left:48.9pt;margin-top:27.6pt;width:161.25pt;height:23.25pt;z-index:251661312" fillcolor="white [3212]" stroked="f"/>
        </w:pict>
      </w:r>
      <w:r w:rsidR="002E2DF7">
        <w:rPr>
          <w:noProof/>
        </w:rPr>
        <w:drawing>
          <wp:inline distT="0" distB="0" distL="0" distR="0">
            <wp:extent cx="3388237" cy="2647950"/>
            <wp:effectExtent l="19050" t="0" r="2663" b="0"/>
            <wp:docPr id="8" name="il_fi" descr="http://www.astro.cornell.edu/academics/courses/astro201/images/cmb_plan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tro.cornell.edu/academics/courses/astro201/images/cmb_planc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237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F7" w:rsidRDefault="002E2DF7" w:rsidP="002F1431"/>
    <w:p w:rsidR="002E2DF7" w:rsidRDefault="00235CB0" w:rsidP="002F1431">
      <w:r>
        <w:t>The</w:t>
      </w:r>
      <w:r w:rsidR="002E2DF7">
        <w:t xml:space="preserve"> brightness of the microwave radiation in a small patch of sk</w:t>
      </w:r>
      <w:r>
        <w:t xml:space="preserve">y </w:t>
      </w:r>
      <w:proofErr w:type="gramStart"/>
      <w:r>
        <w:t>is shown</w:t>
      </w:r>
      <w:proofErr w:type="gramEnd"/>
      <w:r>
        <w:t xml:space="preserve"> below in </w:t>
      </w:r>
      <w:proofErr w:type="spellStart"/>
      <w:r>
        <w:t>pseudocolor</w:t>
      </w:r>
      <w:proofErr w:type="spellEnd"/>
      <w:r>
        <w:t>.  What is the range of temperature observed in the microwave radiation</w:t>
      </w:r>
      <w:proofErr w:type="gramStart"/>
      <w:r>
        <w:t xml:space="preserve">?    </w:t>
      </w:r>
      <w:proofErr w:type="gramEnd"/>
      <w:r>
        <w:t>How much would this difference in temperature shift the wavelength of the peak of the spectrum shown above?</w:t>
      </w:r>
    </w:p>
    <w:p w:rsidR="00784E44" w:rsidRDefault="00784E44" w:rsidP="002F1431"/>
    <w:p w:rsidR="00784E44" w:rsidRDefault="00784E44" w:rsidP="002F1431"/>
    <w:p w:rsidR="00235CB0" w:rsidRDefault="006C3EE3" w:rsidP="002F1431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886075" cy="3102531"/>
            <wp:effectExtent l="19050" t="0" r="9525" b="0"/>
            <wp:docPr id="5" name="Picture 5" descr="http://crd-legacy.lbl.gov/~borrill/cmb/planck/CMB_boo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rd-legacy.lbl.gov/~borrill/cmb/planck/CMB_boom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19" cy="310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B0" w:rsidRDefault="00235CB0" w:rsidP="002F1431">
      <w:pPr>
        <w:rPr>
          <w:b/>
          <w:sz w:val="22"/>
          <w:szCs w:val="22"/>
        </w:rPr>
      </w:pPr>
    </w:p>
    <w:p w:rsidR="00235CB0" w:rsidRDefault="00235CB0" w:rsidP="002F1431">
      <w:pPr>
        <w:rPr>
          <w:b/>
          <w:sz w:val="22"/>
          <w:szCs w:val="22"/>
        </w:rPr>
      </w:pPr>
    </w:p>
    <w:p w:rsidR="009C45D6" w:rsidRPr="009C45D6" w:rsidRDefault="009C45D6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sectPr w:rsidR="009C45D6" w:rsidRPr="009C45D6" w:rsidSect="00624DAF">
      <w:footerReference w:type="default" r:id="rId11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19" w:rsidRDefault="00D50C19">
      <w:r>
        <w:separator/>
      </w:r>
    </w:p>
  </w:endnote>
  <w:endnote w:type="continuationSeparator" w:id="0">
    <w:p w:rsidR="00D50C19" w:rsidRDefault="00D5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18" w:rsidRDefault="00504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19" w:rsidRDefault="00D50C19">
      <w:r>
        <w:separator/>
      </w:r>
    </w:p>
  </w:footnote>
  <w:footnote w:type="continuationSeparator" w:id="0">
    <w:p w:rsidR="00D50C19" w:rsidRDefault="00D50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981"/>
    <w:multiLevelType w:val="hybridMultilevel"/>
    <w:tmpl w:val="1732192C"/>
    <w:lvl w:ilvl="0" w:tplc="24F42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AD0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27D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21B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A88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CAA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0DA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67F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E9C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71CA0"/>
    <w:multiLevelType w:val="hybridMultilevel"/>
    <w:tmpl w:val="C8E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75BAB"/>
    <w:multiLevelType w:val="hybridMultilevel"/>
    <w:tmpl w:val="116A8E4A"/>
    <w:lvl w:ilvl="0" w:tplc="278ED9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8F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E61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E9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C87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6D3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2A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CEE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6B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66571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92876"/>
    <w:rsid w:val="000A2D9C"/>
    <w:rsid w:val="000B1E3C"/>
    <w:rsid w:val="000E3E48"/>
    <w:rsid w:val="000E4003"/>
    <w:rsid w:val="00103170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66742"/>
    <w:rsid w:val="00171A11"/>
    <w:rsid w:val="00172ABF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35CB0"/>
    <w:rsid w:val="00247BB0"/>
    <w:rsid w:val="00275BAB"/>
    <w:rsid w:val="002768AD"/>
    <w:rsid w:val="002905C3"/>
    <w:rsid w:val="002E2DF7"/>
    <w:rsid w:val="002F1431"/>
    <w:rsid w:val="002F51C3"/>
    <w:rsid w:val="00321CD5"/>
    <w:rsid w:val="00331395"/>
    <w:rsid w:val="0034273A"/>
    <w:rsid w:val="00342AFC"/>
    <w:rsid w:val="00366088"/>
    <w:rsid w:val="0037336A"/>
    <w:rsid w:val="00377181"/>
    <w:rsid w:val="003871EC"/>
    <w:rsid w:val="003944DF"/>
    <w:rsid w:val="003B19F4"/>
    <w:rsid w:val="003C660C"/>
    <w:rsid w:val="00413A4C"/>
    <w:rsid w:val="004151BA"/>
    <w:rsid w:val="00421EF6"/>
    <w:rsid w:val="004507D4"/>
    <w:rsid w:val="0047620D"/>
    <w:rsid w:val="004C0821"/>
    <w:rsid w:val="004F0F2F"/>
    <w:rsid w:val="00504A18"/>
    <w:rsid w:val="00505433"/>
    <w:rsid w:val="00531ACA"/>
    <w:rsid w:val="00542618"/>
    <w:rsid w:val="00552880"/>
    <w:rsid w:val="00567958"/>
    <w:rsid w:val="005806B3"/>
    <w:rsid w:val="00586803"/>
    <w:rsid w:val="00592992"/>
    <w:rsid w:val="005A467C"/>
    <w:rsid w:val="005C7597"/>
    <w:rsid w:val="005E26E1"/>
    <w:rsid w:val="005E738A"/>
    <w:rsid w:val="005E7768"/>
    <w:rsid w:val="005F4A5D"/>
    <w:rsid w:val="005F6901"/>
    <w:rsid w:val="00602215"/>
    <w:rsid w:val="00607890"/>
    <w:rsid w:val="00612697"/>
    <w:rsid w:val="00613C9A"/>
    <w:rsid w:val="00624DAF"/>
    <w:rsid w:val="006266DF"/>
    <w:rsid w:val="00630D7A"/>
    <w:rsid w:val="006436B1"/>
    <w:rsid w:val="00643D0B"/>
    <w:rsid w:val="006602E6"/>
    <w:rsid w:val="00665939"/>
    <w:rsid w:val="006659F5"/>
    <w:rsid w:val="00683307"/>
    <w:rsid w:val="00690524"/>
    <w:rsid w:val="00690547"/>
    <w:rsid w:val="00691A8B"/>
    <w:rsid w:val="00692ECF"/>
    <w:rsid w:val="006A3597"/>
    <w:rsid w:val="006B25BB"/>
    <w:rsid w:val="006B2958"/>
    <w:rsid w:val="006C3EE3"/>
    <w:rsid w:val="006E465A"/>
    <w:rsid w:val="006F26F9"/>
    <w:rsid w:val="006F4401"/>
    <w:rsid w:val="0070781C"/>
    <w:rsid w:val="00717AC1"/>
    <w:rsid w:val="00727874"/>
    <w:rsid w:val="00727DD8"/>
    <w:rsid w:val="007310D7"/>
    <w:rsid w:val="0074124A"/>
    <w:rsid w:val="00756AFE"/>
    <w:rsid w:val="0078329B"/>
    <w:rsid w:val="00784E44"/>
    <w:rsid w:val="007910D0"/>
    <w:rsid w:val="007C39F1"/>
    <w:rsid w:val="007C7C22"/>
    <w:rsid w:val="007D192D"/>
    <w:rsid w:val="007D2DD1"/>
    <w:rsid w:val="007D566F"/>
    <w:rsid w:val="007E00A3"/>
    <w:rsid w:val="007E07AC"/>
    <w:rsid w:val="007F1050"/>
    <w:rsid w:val="007F2255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438E"/>
    <w:rsid w:val="008B40CE"/>
    <w:rsid w:val="008C12DE"/>
    <w:rsid w:val="008D0BED"/>
    <w:rsid w:val="008D19BF"/>
    <w:rsid w:val="008D29A3"/>
    <w:rsid w:val="008D6358"/>
    <w:rsid w:val="008E3532"/>
    <w:rsid w:val="008F2292"/>
    <w:rsid w:val="008F2951"/>
    <w:rsid w:val="0090252F"/>
    <w:rsid w:val="00921F1F"/>
    <w:rsid w:val="009263AA"/>
    <w:rsid w:val="009379F2"/>
    <w:rsid w:val="00945436"/>
    <w:rsid w:val="009479DB"/>
    <w:rsid w:val="00963991"/>
    <w:rsid w:val="009766F6"/>
    <w:rsid w:val="00992295"/>
    <w:rsid w:val="00992395"/>
    <w:rsid w:val="009A3301"/>
    <w:rsid w:val="009A3C39"/>
    <w:rsid w:val="009A7914"/>
    <w:rsid w:val="009B752F"/>
    <w:rsid w:val="009C45D6"/>
    <w:rsid w:val="009C5B40"/>
    <w:rsid w:val="009C5F03"/>
    <w:rsid w:val="00A01ECD"/>
    <w:rsid w:val="00A120CB"/>
    <w:rsid w:val="00A22DB4"/>
    <w:rsid w:val="00A27985"/>
    <w:rsid w:val="00A33425"/>
    <w:rsid w:val="00A36B26"/>
    <w:rsid w:val="00A519EF"/>
    <w:rsid w:val="00A54BBB"/>
    <w:rsid w:val="00A718D6"/>
    <w:rsid w:val="00A913F3"/>
    <w:rsid w:val="00A94AC9"/>
    <w:rsid w:val="00AB0E36"/>
    <w:rsid w:val="00AD3B6F"/>
    <w:rsid w:val="00B036F2"/>
    <w:rsid w:val="00B12AF0"/>
    <w:rsid w:val="00B26FA8"/>
    <w:rsid w:val="00B34365"/>
    <w:rsid w:val="00B36C0D"/>
    <w:rsid w:val="00B452AD"/>
    <w:rsid w:val="00B51FF3"/>
    <w:rsid w:val="00B53515"/>
    <w:rsid w:val="00B6673C"/>
    <w:rsid w:val="00B71575"/>
    <w:rsid w:val="00B82EC5"/>
    <w:rsid w:val="00BB0029"/>
    <w:rsid w:val="00BB34B7"/>
    <w:rsid w:val="00BB6CC2"/>
    <w:rsid w:val="00BB7584"/>
    <w:rsid w:val="00BD49D0"/>
    <w:rsid w:val="00BE51A1"/>
    <w:rsid w:val="00BE55AA"/>
    <w:rsid w:val="00C0524E"/>
    <w:rsid w:val="00C12A7C"/>
    <w:rsid w:val="00C40B86"/>
    <w:rsid w:val="00C50603"/>
    <w:rsid w:val="00C50FE6"/>
    <w:rsid w:val="00C56DC7"/>
    <w:rsid w:val="00C60B03"/>
    <w:rsid w:val="00C80B9A"/>
    <w:rsid w:val="00C80DB2"/>
    <w:rsid w:val="00C90F21"/>
    <w:rsid w:val="00CA3344"/>
    <w:rsid w:val="00CE0525"/>
    <w:rsid w:val="00CF7EA7"/>
    <w:rsid w:val="00D02D4D"/>
    <w:rsid w:val="00D06A44"/>
    <w:rsid w:val="00D23316"/>
    <w:rsid w:val="00D3396A"/>
    <w:rsid w:val="00D36919"/>
    <w:rsid w:val="00D50C19"/>
    <w:rsid w:val="00D56813"/>
    <w:rsid w:val="00D6240F"/>
    <w:rsid w:val="00D628DE"/>
    <w:rsid w:val="00D63BD2"/>
    <w:rsid w:val="00D704D5"/>
    <w:rsid w:val="00D70EFE"/>
    <w:rsid w:val="00D90A1D"/>
    <w:rsid w:val="00D91BDD"/>
    <w:rsid w:val="00DC1BFD"/>
    <w:rsid w:val="00DD0DD5"/>
    <w:rsid w:val="00DD2B16"/>
    <w:rsid w:val="00DD62BC"/>
    <w:rsid w:val="00DE4063"/>
    <w:rsid w:val="00DE7F93"/>
    <w:rsid w:val="00DF3340"/>
    <w:rsid w:val="00E04281"/>
    <w:rsid w:val="00E11059"/>
    <w:rsid w:val="00E142A8"/>
    <w:rsid w:val="00E146B7"/>
    <w:rsid w:val="00E4793E"/>
    <w:rsid w:val="00E65882"/>
    <w:rsid w:val="00E717ED"/>
    <w:rsid w:val="00E9634D"/>
    <w:rsid w:val="00EA5F73"/>
    <w:rsid w:val="00EB38A8"/>
    <w:rsid w:val="00EC74BA"/>
    <w:rsid w:val="00ED00C3"/>
    <w:rsid w:val="00ED25AF"/>
    <w:rsid w:val="00EE232D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7A0A"/>
    <w:rsid w:val="00F8674F"/>
    <w:rsid w:val="00F87ACC"/>
    <w:rsid w:val="00FA0496"/>
    <w:rsid w:val="00FA7DDD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5F4A5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A5D"/>
    <w:rPr>
      <w:color w:val="0000FF"/>
      <w:u w:val="single"/>
    </w:rPr>
  </w:style>
  <w:style w:type="character" w:styleId="FollowedHyperlink">
    <w:name w:val="FollowedHyperlink"/>
    <w:basedOn w:val="DefaultParagraphFont"/>
    <w:rsid w:val="005F4A5D"/>
    <w:rPr>
      <w:color w:val="800080"/>
      <w:u w:val="single"/>
    </w:rPr>
  </w:style>
  <w:style w:type="paragraph" w:styleId="Header">
    <w:name w:val="header"/>
    <w:basedOn w:val="Normal"/>
    <w:rsid w:val="005F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A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A5D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939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np782.er.usgs.gov/atlas2/articles/mapping/IMAGES/avhrr-sprct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1387</CharactersWithSpaces>
  <SharedDoc>false</SharedDoc>
  <HLinks>
    <vt:vector size="6" baseType="variant">
      <vt:variant>
        <vt:i4>786497</vt:i4>
      </vt:variant>
      <vt:variant>
        <vt:i4>-1</vt:i4>
      </vt:variant>
      <vt:variant>
        <vt:i4>1068</vt:i4>
      </vt:variant>
      <vt:variant>
        <vt:i4>1</vt:i4>
      </vt:variant>
      <vt:variant>
        <vt:lpwstr>http://rnp782.er.usgs.gov/atlas2/articles/mapping/IMAGES/avhrr-sprct.gif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2013-01-28T21:05:00Z</cp:lastPrinted>
  <dcterms:created xsi:type="dcterms:W3CDTF">2013-03-25T21:00:00Z</dcterms:created>
  <dcterms:modified xsi:type="dcterms:W3CDTF">2013-03-25T21:00:00Z</dcterms:modified>
</cp:coreProperties>
</file>